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tabs>
          <w:tab w:val="left" w:pos="3240"/>
        </w:tabs>
        <w:spacing w:line="360" w:lineRule="auto"/>
        <w:jc w:val="left"/>
        <w:rPr>
          <w:rFonts w:ascii="仿宋" w:eastAsia="仿宋"/>
          <w:sz w:val="24"/>
        </w:rPr>
      </w:pPr>
      <w:r>
        <w:rPr>
          <w:rFonts w:ascii="仿宋" w:eastAsia="仿宋" w:hint="eastAsia"/>
          <w:sz w:val="24"/>
        </w:rPr>
        <w:t>证券代码：000531        证券简称：穗恒运A        公告编号：  2021-010</w:t>
      </w:r>
    </w:p>
    <w:p>
      <w:pPr>
        <w:tabs>
          <w:tab w:val="left" w:pos="3240"/>
        </w:tabs>
        <w:spacing w:line="560" w:lineRule="exact"/>
        <w:ind w:firstLineChars="288" w:firstLine="691"/>
        <w:jc w:val="center"/>
        <w:rPr>
          <w:rFonts w:ascii="仿宋" w:eastAsia="仿宋"/>
          <w:sz w:val="24"/>
        </w:rPr>
      </w:pPr>
    </w:p>
    <w:p>
      <w:pPr>
        <w:tabs>
          <w:tab w:val="left" w:pos="3240"/>
        </w:tabs>
        <w:spacing w:line="560" w:lineRule="exact"/>
        <w:jc w:val="center"/>
        <w:rPr>
          <w:rFonts w:ascii="黑体" w:eastAsia="黑体"/>
          <w:b/>
          <w:sz w:val="32"/>
          <w:szCs w:val="32"/>
        </w:rPr>
      </w:pPr>
      <w:bookmarkStart w:id="0" w:name="_GoBack"/>
      <w:r>
        <w:rPr>
          <w:rFonts w:ascii="黑体" w:eastAsia="黑体" w:hint="eastAsia"/>
          <w:b/>
          <w:sz w:val="32"/>
          <w:szCs w:val="32"/>
        </w:rPr>
        <w:t>广州恒运企业集团股份有限公司</w:t>
      </w:r>
      <w:r>
        <w:rPr>
          <w:rFonts w:ascii="黑体" w:eastAsia="黑体"/>
          <w:b/>
          <w:sz w:val="32"/>
          <w:szCs w:val="32"/>
        </w:rPr>
        <w:t>2020</w:t>
      </w:r>
      <w:r>
        <w:rPr>
          <w:rFonts w:ascii="黑体" w:eastAsia="黑体" w:hint="eastAsia"/>
          <w:b/>
          <w:sz w:val="32"/>
          <w:szCs w:val="32"/>
        </w:rPr>
        <w:t>年度</w:t>
      </w:r>
    </w:p>
    <w:p>
      <w:pPr>
        <w:tabs>
          <w:tab w:val="left" w:pos="3240"/>
        </w:tabs>
        <w:spacing w:line="560" w:lineRule="exact"/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业绩预告</w:t>
      </w:r>
    </w:p>
    <w:p>
      <w:pPr>
        <w:tabs>
          <w:tab w:val="left" w:pos="3240"/>
        </w:tabs>
        <w:spacing w:line="560" w:lineRule="exact"/>
        <w:jc w:val="center"/>
        <w:rPr>
          <w:rFonts w:ascii="仿宋" w:eastAsia="仿宋"/>
          <w:sz w:val="24"/>
        </w:rPr>
      </w:pPr>
      <w:bookmarkEnd w:id="0"/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c>
          <w:tcPr>
            <w:tcW w:w="8522" w:type="dxa"/>
          </w:tcPr>
          <w:p>
            <w:pPr>
              <w:tabs>
                <w:tab w:val="left" w:pos="3240"/>
              </w:tabs>
              <w:spacing w:line="560" w:lineRule="exact"/>
              <w:ind w:firstLineChars="200" w:firstLine="560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本公司及董事会全体成员保证信息披露的内容真实、准确、完整，没有虚假记载、误导性陈述或重大遗漏。</w:t>
            </w:r>
          </w:p>
        </w:tc>
      </w:tr>
    </w:tbl>
    <w:p>
      <w:pPr>
        <w:tabs>
          <w:tab w:val="left" w:pos="3240"/>
        </w:tabs>
        <w:spacing w:line="560" w:lineRule="exact"/>
        <w:ind w:firstLineChars="250" w:firstLine="700"/>
        <w:rPr>
          <w:rFonts w:ascii="仿宋" w:eastAsia="仿宋"/>
          <w:b/>
          <w:sz w:val="28"/>
          <w:szCs w:val="28"/>
        </w:rPr>
      </w:pPr>
    </w:p>
    <w:p>
      <w:pPr>
        <w:tabs>
          <w:tab w:val="left" w:pos="3240"/>
        </w:tabs>
        <w:spacing w:line="560" w:lineRule="exact"/>
        <w:ind w:firstLineChars="200" w:firstLine="560"/>
        <w:rPr>
          <w:rFonts w:ascii="仿宋" w:eastAsia="仿宋"/>
          <w:b/>
          <w:sz w:val="28"/>
          <w:szCs w:val="28"/>
        </w:rPr>
      </w:pPr>
      <w:r>
        <w:rPr>
          <w:rFonts w:ascii="仿宋" w:eastAsia="仿宋" w:hint="eastAsia"/>
          <w:b/>
          <w:sz w:val="28"/>
          <w:szCs w:val="28"/>
        </w:rPr>
        <w:t>一、本期业绩预计情况</w:t>
      </w:r>
    </w:p>
    <w:p>
      <w:pPr>
        <w:tabs>
          <w:tab w:val="left" w:pos="3240"/>
        </w:tabs>
        <w:spacing w:line="560" w:lineRule="exact"/>
        <w:ind w:firstLineChars="200" w:firstLine="560"/>
        <w:rPr>
          <w:rFonts w:ascii="仿宋" w:eastAsia="仿宋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1．业绩预告期间：2020年1月1日—2020年12月31日</w:t>
      </w:r>
    </w:p>
    <w:p>
      <w:pPr>
        <w:tabs>
          <w:tab w:val="left" w:pos="3240"/>
        </w:tabs>
        <w:spacing w:line="560" w:lineRule="exact"/>
        <w:ind w:firstLineChars="200" w:firstLine="560"/>
        <w:rPr>
          <w:rFonts w:ascii="仿宋" w:eastAsia="仿宋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2. 预计的业绩：同向上升</w:t>
      </w:r>
    </w:p>
    <w:tbl>
      <w:tblPr>
        <w:jc w:val="center"/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4282"/>
        <w:gridCol w:w="2806"/>
      </w:tblGrid>
      <w:tr>
        <w:trPr>
          <w:trHeight w:val="55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left" w:pos="3240"/>
              </w:tabs>
              <w:spacing w:line="360" w:lineRule="exact"/>
              <w:ind w:firstLineChars="250" w:firstLine="600"/>
              <w:jc w:val="left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ascii="仿宋_GB2312" w:eastAsia="仿宋_GB2312" w:cs="Times New Roman" w:hint="eastAsia"/>
                <w:sz w:val="24"/>
                <w:szCs w:val="24"/>
              </w:rPr>
              <w:t>项</w:t>
            </w:r>
            <w:r>
              <w:rPr>
                <w:rFonts w:ascii="仿宋_GB2312" w:eastAsia="仿宋_GB2312" w:cs="Times New Roman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cs="Times New Roman" w:hint="eastAsia"/>
                <w:sz w:val="24"/>
                <w:szCs w:val="24"/>
              </w:rPr>
              <w:t>目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left" w:pos="3240"/>
              </w:tabs>
              <w:spacing w:line="360" w:lineRule="exact"/>
              <w:ind w:firstLineChars="650" w:firstLine="1560"/>
              <w:jc w:val="left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ascii="仿宋_GB2312" w:eastAsia="仿宋_GB2312" w:cs="Times New Roman" w:hint="eastAsia"/>
                <w:sz w:val="24"/>
                <w:szCs w:val="24"/>
              </w:rPr>
              <w:t>本报告期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left" w:pos="3240"/>
              </w:tabs>
              <w:spacing w:line="360" w:lineRule="exact"/>
              <w:ind w:firstLineChars="250" w:firstLine="600"/>
              <w:jc w:val="left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ascii="仿宋_GB2312" w:eastAsia="仿宋_GB2312" w:cs="Times New Roman" w:hint="eastAsia"/>
                <w:sz w:val="24"/>
                <w:szCs w:val="24"/>
              </w:rPr>
              <w:t>上年同期</w:t>
            </w:r>
          </w:p>
        </w:tc>
      </w:tr>
      <w:tr>
        <w:trPr>
          <w:trHeight w:val="55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left" w:pos="3240"/>
              </w:tabs>
              <w:spacing w:line="360" w:lineRule="exact"/>
              <w:jc w:val="left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ascii="仿宋_GB2312" w:eastAsia="仿宋_GB2312" w:cs="Times New Roman" w:hint="eastAsia"/>
                <w:sz w:val="24"/>
                <w:szCs w:val="24"/>
              </w:rPr>
              <w:t>归属于上市公司股东的净利润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left" w:pos="3240"/>
              </w:tabs>
              <w:spacing w:line="360" w:lineRule="exact"/>
              <w:jc w:val="left"/>
              <w:rPr>
                <w:rFonts w:ascii="仿宋" w:eastAsia="仿宋" w:cs="Times New Roman"/>
                <w:sz w:val="24"/>
                <w:szCs w:val="24"/>
              </w:rPr>
            </w:pPr>
            <w:r>
              <w:rPr>
                <w:rFonts w:ascii="仿宋" w:eastAsia="仿宋" w:cs="Times New Roman" w:hint="eastAsia"/>
                <w:sz w:val="24"/>
                <w:szCs w:val="24"/>
              </w:rPr>
              <w:t>盈利：</w:t>
            </w:r>
            <w:r>
              <w:rPr>
                <w:rFonts w:ascii="仿宋" w:eastAsia="仿宋" w:cs="Times New Roman"/>
                <w:sz w:val="24"/>
                <w:szCs w:val="24"/>
              </w:rPr>
              <w:t>72</w:t>
            </w:r>
            <w:r>
              <w:rPr>
                <w:rFonts w:ascii="仿宋" w:eastAsia="仿宋" w:cs="Times New Roman" w:hint="eastAsia"/>
                <w:sz w:val="24"/>
                <w:szCs w:val="24"/>
              </w:rPr>
              <w:t>,</w:t>
            </w:r>
            <w:r>
              <w:rPr>
                <w:rFonts w:ascii="仿宋" w:eastAsia="仿宋" w:cs="Times New Roman"/>
                <w:sz w:val="24"/>
                <w:szCs w:val="24"/>
              </w:rPr>
              <w:t>000</w:t>
            </w:r>
            <w:r>
              <w:rPr>
                <w:rFonts w:ascii="仿宋" w:eastAsia="仿宋" w:cs="Times New Roman" w:hint="eastAsia"/>
                <w:sz w:val="24"/>
                <w:szCs w:val="24"/>
              </w:rPr>
              <w:t>万元–</w:t>
            </w:r>
            <w:r>
              <w:rPr>
                <w:rFonts w:ascii="仿宋" w:eastAsia="仿宋" w:cs="Times New Roman"/>
                <w:sz w:val="24"/>
                <w:szCs w:val="24"/>
              </w:rPr>
              <w:t>82</w:t>
            </w:r>
            <w:r>
              <w:rPr>
                <w:rFonts w:ascii="仿宋" w:eastAsia="仿宋" w:cs="Times New Roman" w:hint="eastAsia"/>
                <w:sz w:val="24"/>
                <w:szCs w:val="24"/>
              </w:rPr>
              <w:t>,</w:t>
            </w:r>
            <w:r>
              <w:rPr>
                <w:rFonts w:ascii="仿宋" w:eastAsia="仿宋" w:cs="Times New Roman"/>
                <w:sz w:val="24"/>
                <w:szCs w:val="24"/>
              </w:rPr>
              <w:t>000</w:t>
            </w:r>
            <w:r>
              <w:rPr>
                <w:rFonts w:ascii="仿宋" w:eastAsia="仿宋" w:cs="Times New Roman" w:hint="eastAsia"/>
                <w:sz w:val="24"/>
                <w:szCs w:val="24"/>
              </w:rPr>
              <w:t>万元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left" w:pos="3240"/>
              </w:tabs>
              <w:spacing w:line="360" w:lineRule="exact"/>
              <w:jc w:val="left"/>
              <w:rPr>
                <w:rFonts w:ascii="仿宋" w:eastAsia="仿宋" w:cs="Times New Roman"/>
                <w:sz w:val="24"/>
                <w:szCs w:val="24"/>
              </w:rPr>
            </w:pPr>
            <w:r>
              <w:rPr>
                <w:rFonts w:ascii="仿宋_GB2312" w:eastAsia="仿宋_GB2312" w:cs="Times New Roman" w:hint="eastAsia"/>
                <w:sz w:val="24"/>
                <w:szCs w:val="24"/>
              </w:rPr>
              <w:t>盈利：</w:t>
            </w:r>
            <w:r>
              <w:rPr>
                <w:rFonts w:ascii="仿宋_GB2312" w:eastAsia="仿宋_GB2312" w:cs="Times New Roman"/>
                <w:sz w:val="24"/>
                <w:szCs w:val="24"/>
              </w:rPr>
              <w:t>41</w:t>
            </w:r>
            <w:r>
              <w:rPr>
                <w:rFonts w:ascii="仿宋_GB2312" w:eastAsia="仿宋_GB2312" w:cs="Times New Roman" w:hint="eastAsia"/>
                <w:sz w:val="24"/>
                <w:szCs w:val="24"/>
              </w:rPr>
              <w:t>,089.40万元</w:t>
            </w:r>
          </w:p>
        </w:tc>
      </w:tr>
      <w:tr>
        <w:trPr>
          <w:trHeight w:val="550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left" w:pos="3240"/>
              </w:tabs>
              <w:spacing w:line="360" w:lineRule="exact"/>
              <w:jc w:val="left"/>
              <w:rPr>
                <w:rFonts w:ascii="仿宋" w:eastAsia="仿宋" w:cs="Times New Roman"/>
                <w:sz w:val="24"/>
                <w:szCs w:val="24"/>
              </w:rPr>
            </w:pPr>
            <w:r>
              <w:rPr>
                <w:rFonts w:ascii="仿宋" w:eastAsia="仿宋" w:cs="Times New Roman" w:hint="eastAsia"/>
                <w:sz w:val="24"/>
                <w:szCs w:val="24"/>
              </w:rPr>
              <w:t>比上年同期增长：75% - 100%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left" w:pos="3240"/>
              </w:tabs>
              <w:spacing w:line="360" w:lineRule="exact"/>
              <w:ind w:firstLineChars="200" w:firstLine="480"/>
              <w:jc w:val="left"/>
              <w:rPr>
                <w:rFonts w:ascii="仿宋" w:eastAsia="仿宋" w:cs="Times New Roman"/>
                <w:sz w:val="24"/>
                <w:szCs w:val="24"/>
              </w:rPr>
            </w:pPr>
          </w:p>
        </w:tc>
      </w:tr>
      <w:tr>
        <w:trPr>
          <w:trHeight w:val="55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left" w:pos="3240"/>
              </w:tabs>
              <w:spacing w:line="360" w:lineRule="exact"/>
              <w:jc w:val="left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ascii="仿宋_GB2312" w:eastAsia="仿宋_GB2312" w:cs="Times New Roman" w:hint="eastAsia"/>
                <w:sz w:val="24"/>
                <w:szCs w:val="24"/>
              </w:rPr>
              <w:t>基本每股收益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left" w:pos="3240"/>
              </w:tabs>
              <w:spacing w:line="360" w:lineRule="exact"/>
              <w:jc w:val="left"/>
              <w:rPr>
                <w:rFonts w:ascii="仿宋" w:eastAsia="仿宋" w:cs="Times New Roman"/>
                <w:sz w:val="24"/>
                <w:szCs w:val="24"/>
              </w:rPr>
            </w:pPr>
            <w:r>
              <w:rPr>
                <w:rFonts w:ascii="仿宋" w:eastAsia="仿宋" w:cs="Times New Roman" w:hint="eastAsia"/>
                <w:sz w:val="24"/>
                <w:szCs w:val="24"/>
              </w:rPr>
              <w:t>盈利：</w:t>
            </w:r>
            <w:r>
              <w:rPr>
                <w:rFonts w:ascii="仿宋" w:eastAsia="仿宋" w:cs="Times New Roman"/>
                <w:sz w:val="24"/>
                <w:szCs w:val="24"/>
              </w:rPr>
              <w:t>1.0510</w:t>
            </w:r>
            <w:r>
              <w:rPr>
                <w:rFonts w:ascii="仿宋" w:eastAsia="仿宋" w:cs="Times New Roman" w:hint="eastAsia"/>
                <w:sz w:val="24"/>
                <w:szCs w:val="24"/>
              </w:rPr>
              <w:t>元/股–</w:t>
            </w:r>
            <w:r>
              <w:rPr>
                <w:rFonts w:ascii="仿宋" w:eastAsia="仿宋" w:cs="Times New Roman"/>
                <w:sz w:val="24"/>
                <w:szCs w:val="24"/>
              </w:rPr>
              <w:t>1.1969</w:t>
            </w:r>
            <w:r>
              <w:rPr>
                <w:rFonts w:ascii="仿宋" w:eastAsia="仿宋" w:cs="Times New Roman" w:hint="eastAsia"/>
                <w:sz w:val="24"/>
                <w:szCs w:val="24"/>
              </w:rPr>
              <w:t>元/股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left" w:pos="3240"/>
              </w:tabs>
              <w:spacing w:line="360" w:lineRule="exact"/>
              <w:jc w:val="left"/>
              <w:rPr>
                <w:rFonts w:ascii="仿宋" w:eastAsia="仿宋" w:cs="Times New Roman"/>
                <w:sz w:val="24"/>
                <w:szCs w:val="24"/>
              </w:rPr>
            </w:pPr>
            <w:r>
              <w:rPr>
                <w:rFonts w:ascii="仿宋" w:eastAsia="仿宋" w:cs="Times New Roman" w:hint="eastAsia"/>
                <w:sz w:val="24"/>
                <w:szCs w:val="24"/>
              </w:rPr>
              <w:t>盈利：0.5998元/股</w:t>
            </w:r>
          </w:p>
        </w:tc>
      </w:tr>
    </w:tbl>
    <w:p>
      <w:pPr>
        <w:tabs>
          <w:tab w:val="left" w:pos="3240"/>
        </w:tabs>
        <w:spacing w:line="560" w:lineRule="exact"/>
        <w:ind w:firstLineChars="200" w:firstLine="560"/>
        <w:rPr>
          <w:rFonts w:ascii="仿宋" w:eastAsia="仿宋"/>
          <w:b/>
          <w:sz w:val="28"/>
          <w:szCs w:val="28"/>
        </w:rPr>
      </w:pPr>
      <w:r>
        <w:rPr>
          <w:rFonts w:ascii="仿宋" w:eastAsia="仿宋" w:hint="eastAsia"/>
          <w:b/>
          <w:sz w:val="28"/>
          <w:szCs w:val="28"/>
        </w:rPr>
        <w:t>二、业绩预告预审计情况</w:t>
      </w:r>
    </w:p>
    <w:p>
      <w:pPr>
        <w:tabs>
          <w:tab w:val="left" w:pos="3240"/>
        </w:tabs>
        <w:spacing w:line="560" w:lineRule="exact"/>
        <w:ind w:firstLineChars="200" w:firstLine="560"/>
        <w:rPr>
          <w:rFonts w:ascii="仿宋" w:eastAsia="仿宋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业绩预告未经注册会计师预审计。</w:t>
      </w:r>
    </w:p>
    <w:p>
      <w:pPr>
        <w:tabs>
          <w:tab w:val="left" w:pos="3240"/>
        </w:tabs>
        <w:spacing w:line="560" w:lineRule="exact"/>
        <w:ind w:firstLineChars="200" w:firstLine="560"/>
        <w:rPr>
          <w:rFonts w:ascii="仿宋" w:eastAsia="仿宋"/>
          <w:b/>
          <w:sz w:val="28"/>
          <w:szCs w:val="28"/>
        </w:rPr>
      </w:pPr>
      <w:r>
        <w:rPr>
          <w:rFonts w:ascii="仿宋" w:eastAsia="仿宋" w:hint="eastAsia"/>
          <w:b/>
          <w:sz w:val="28"/>
          <w:szCs w:val="28"/>
        </w:rPr>
        <w:t>三、业绩变动原因说明</w:t>
      </w:r>
    </w:p>
    <w:p>
      <w:pPr>
        <w:tabs>
          <w:tab w:val="left" w:pos="3240"/>
        </w:tabs>
        <w:spacing w:line="560" w:lineRule="exact"/>
        <w:ind w:firstLineChars="200" w:firstLine="560"/>
        <w:rPr>
          <w:rFonts w:ascii="仿宋" w:eastAsia="仿宋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1、本报告期参股公司越秀金控经营业绩同比大幅上升,公司按权益法确认的投资收益同比大幅增加；</w:t>
      </w:r>
    </w:p>
    <w:p>
      <w:pPr>
        <w:tabs>
          <w:tab w:val="left" w:pos="3240"/>
        </w:tabs>
        <w:spacing w:line="560" w:lineRule="exact"/>
        <w:ind w:firstLineChars="200" w:firstLine="560"/>
        <w:rPr>
          <w:rFonts w:ascii="仿宋" w:eastAsia="仿宋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2、本报告期控股子公司恒建投公司开发的锦泽园交楼结转收入，使得房地产收益同比增长。</w:t>
      </w:r>
    </w:p>
    <w:p>
      <w:pPr>
        <w:tabs>
          <w:tab w:val="left" w:pos="3240"/>
        </w:tabs>
        <w:spacing w:line="560" w:lineRule="exact"/>
        <w:ind w:firstLineChars="200" w:firstLine="560"/>
        <w:rPr>
          <w:rFonts w:ascii="仿宋" w:eastAsia="仿宋"/>
          <w:b/>
          <w:sz w:val="28"/>
          <w:szCs w:val="28"/>
        </w:rPr>
      </w:pPr>
      <w:r>
        <w:rPr>
          <w:rFonts w:ascii="仿宋" w:eastAsia="仿宋" w:hint="eastAsia"/>
          <w:b/>
          <w:sz w:val="28"/>
          <w:szCs w:val="28"/>
        </w:rPr>
        <w:t>四、其他相关说明</w:t>
      </w:r>
    </w:p>
    <w:p>
      <w:pPr>
        <w:tabs>
          <w:tab w:val="left" w:pos="3240"/>
        </w:tabs>
        <w:spacing w:line="560" w:lineRule="exact"/>
        <w:ind w:firstLineChars="200" w:firstLine="560"/>
        <w:rPr>
          <w:rFonts w:ascii="仿宋" w:eastAsia="仿宋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2020年度财务数据的具体情况将在2020年度报告中详细披露。本次业绩预告仅为初步估算，尚存在不确定性，敬请广大投资者注意投资风险。</w:t>
      </w:r>
    </w:p>
    <w:p>
      <w:pPr>
        <w:tabs>
          <w:tab w:val="left" w:pos="3240"/>
        </w:tabs>
        <w:spacing w:line="560" w:lineRule="exact"/>
        <w:ind w:firstLineChars="200" w:firstLine="560"/>
        <w:rPr>
          <w:rFonts w:ascii="仿宋" w:eastAsia="仿宋"/>
          <w:sz w:val="28"/>
          <w:szCs w:val="28"/>
        </w:rPr>
      </w:pPr>
    </w:p>
    <w:p>
      <w:pPr>
        <w:tabs>
          <w:tab w:val="left" w:pos="3240"/>
        </w:tabs>
        <w:spacing w:line="560" w:lineRule="exact"/>
        <w:ind w:firstLineChars="200" w:firstLine="560"/>
        <w:rPr>
          <w:rFonts w:ascii="仿宋" w:eastAsia="仿宋"/>
          <w:sz w:val="28"/>
          <w:szCs w:val="28"/>
        </w:rPr>
      </w:pPr>
    </w:p>
    <w:p>
      <w:pPr>
        <w:spacing w:line="560" w:lineRule="exact"/>
        <w:ind w:right="120" w:firstLineChars="200" w:firstLine="560"/>
        <w:jc w:val="right"/>
        <w:rPr>
          <w:rFonts w:ascii="仿宋" w:eastAsia="仿宋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广州恒运企业集团股份有限公司董事会</w:t>
      </w:r>
    </w:p>
    <w:p>
      <w:pPr>
        <w:spacing w:line="560" w:lineRule="exact"/>
        <w:ind w:right="1080" w:firstLineChars="200" w:firstLine="560"/>
        <w:jc w:val="right"/>
        <w:rPr>
          <w:rFonts w:ascii="仿宋" w:eastAsia="仿宋"/>
          <w:sz w:val="28"/>
          <w:szCs w:val="28"/>
        </w:rPr>
      </w:pPr>
      <w:r>
        <w:rPr>
          <w:rFonts w:ascii="仿宋" w:eastAsia="仿宋"/>
          <w:sz w:val="28"/>
          <w:szCs w:val="28"/>
        </w:rPr>
        <w:t>2021</w:t>
      </w:r>
      <w:r>
        <w:rPr>
          <w:rFonts w:ascii="仿宋" w:eastAsia="仿宋" w:hint="eastAsia"/>
          <w:sz w:val="28"/>
          <w:szCs w:val="28"/>
        </w:rPr>
        <w:t>年</w:t>
      </w:r>
      <w:r>
        <w:rPr>
          <w:rFonts w:ascii="仿宋" w:eastAsia="仿宋"/>
          <w:sz w:val="28"/>
          <w:szCs w:val="28"/>
        </w:rPr>
        <w:t>1</w:t>
      </w:r>
      <w:r>
        <w:rPr>
          <w:rFonts w:ascii="仿宋" w:eastAsia="仿宋" w:hint="eastAsia"/>
          <w:sz w:val="28"/>
          <w:szCs w:val="28"/>
        </w:rPr>
        <w:t>月24日</w:t>
      </w:r>
    </w:p>
    <w:p>
      <w:pPr>
        <w:tabs>
          <w:tab w:val="left" w:pos="3240"/>
        </w:tabs>
        <w:spacing w:line="560" w:lineRule="exact"/>
        <w:rPr>
          <w:rFonts w:ascii="宋体"/>
          <w:sz w:val="24"/>
        </w:rPr>
      </w:pPr>
    </w:p>
    <w:p>
      <w:pPr>
        <w:tabs>
          <w:tab w:val="left" w:pos="3240"/>
        </w:tabs>
        <w:spacing w:line="560" w:lineRule="exact"/>
        <w:rPr>
          <w:rFonts w:ascii="宋体"/>
          <w:sz w:val="24"/>
        </w:rPr>
      </w:pPr>
    </w:p>
    <w:p>
      <w:pPr>
        <w:tabs>
          <w:tab w:val="left" w:pos="3240"/>
        </w:tabs>
        <w:spacing w:line="560" w:lineRule="exact"/>
        <w:rPr>
          <w:rFonts w:ascii="宋体"/>
          <w:b/>
          <w:color w:val="FF0000"/>
          <w:sz w:val="44"/>
          <w:szCs w:val="44"/>
        </w:rPr>
      </w:pPr>
      <w:r>
        <w:rPr>
          <w:rFonts w:ascii="宋体" w:hint="eastAsia"/>
          <w:b/>
          <w:color w:val="FF0000"/>
          <w:sz w:val="44"/>
          <w:szCs w:val="44"/>
        </w:rPr>
        <w:t xml:space="preserve"> 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仿宋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variable"/>
    <w:sig w:usb0="00000000" w:usb1="0000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customStyle="1" w:styleId="15">
    <w:name w:val="Char"/>
    <w:basedOn w:val="0"/>
    <w:rPr>
      <w:rFonts w:ascii="Times New Roman" w:eastAsia="宋体" w:cs="Times New Roman" w:hAnsi="Times New Roman"/>
      <w:sz w:val="32"/>
      <w:szCs w:val="32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Yozo_Office27021597764231179</Application>
  <Pages>1</Pages>
  <Words>21</Words>
  <Characters>24</Characters>
  <Lines>2</Lines>
  <Paragraphs>2</Paragraphs>
  <CharactersWithSpaces>24</CharactersWithSpace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john</dc:creator>
  <cp:lastModifiedBy>xiongyan</cp:lastModifiedBy>
  <cp:revision>3</cp:revision>
  <dcterms:created xsi:type="dcterms:W3CDTF">2021-01-22T01:39:00Z</dcterms:created>
  <dcterms:modified xsi:type="dcterms:W3CDTF">2021-01-26T07:36:28Z</dcterms:modified>
</cp:coreProperties>
</file>